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полученных данных при проведении планового контрольного (надзорного) мероприятия по обследованию загородной стационарной организации труда и отдыха детей.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характеристикам показателя потенциального риска причинения вреда здоровью +(R)+ при осуществлении деятельности по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значение R, составляющее 1х10-4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плановых контрольных (надзорных) мероприятий – один раз перед началом каникул и далее один раз во время каникул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плановых контрольных (надзорных) мероприятий более 2-х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высокий риск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значение R &gt; 1х10-3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проведение плановых контрольных (надзорных) мероприятий – один раз перед началом каникул и далее один раз во время каникул; 5 — чрезвычайно высокий риск; 6 — значение R &gt; 1х10-3</w:t>
      </w:r>
    </w:p>
    <w:p>
      <w:pPr>
        <w:ind w:left="504"/>
      </w:pPr>
      <w:r>
        <w:rPr>
          <w:b w:val="0"/>
          <w:i/>
        </w:rPr>
        <w:t>Плановые контрольные (надзорные) мероприятия в отношении следующих объектов контроля, отнесенных к категории чрезвычайно высокого риска, проводятся со следующей периодичностью: «…» в отношении деятельности детских лагерей на время каникул - один раз перед началом каникул и далее один раз во время каникул.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 36 «б».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  <w:br/>
        <w:br/>
        <w:t>в случае, если показатель потенциального риска причинения вреда здоровью составляет более 1х10-3- чрезвычайно высокий риск «…»</w:t>
        <w:br/>
        <w:br/>
        <w:t>Положение «О федеральном государственном санитарно-эпидемиологическом контроле (надзоре)» от 30 июня 2021 г. № 1100, п.1 Приложения №1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  <w:br/>
        <w:br/>
        <w:t>в случае, если показатель потенциального риска причинения вреда здоровью составляет более 1х10-3- чрезвычайно высокий риск «…»</w:t>
        <w:br/>
        <w:br/>
        <w:t>Положение «О федеральном государственном санитарно-эпидемиологическом контроле (надзоре)» от 30 июня 2021 г. № 1100, п.1 Приложения №1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контрольных (надзорных)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контрольного (надзорного)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контрольных (надзорных) мероприятий в соответствии с риск-ориентированным подходом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отправку уведомления о начале контрольного (надзорного) мероприятия; 3 — размещение информации о плане контрольных (надзорных) мероприятий; 4 — согласование плана контрольных (надзорных) мероприятий; 5 — планирование контрольных (надзорных) мероприятий в соответствии с риск-ориентированным подходом; 6 — принятие решения о проведении контрольного (надзорного) мероприятия</w:t>
      </w:r>
    </w:p>
    <w:p>
      <w:pPr>
        <w:ind w:left="504"/>
      </w:pPr>
      <w:r>
        <w:rPr>
          <w:b w:val="0"/>
          <w:i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п.4, ст. 21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информационного обеспечения государственного контроля (надзора), муниципального контроля создаются:</w:t>
        <w:br/>
        <w:br/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  <w:br/>
        <w:br/>
        <w:t>2) единый реестр контрольных (надзорных) мероприятий «…»</w:t>
        <w:br/>
        <w:br/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17; п. 4, ст. 19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61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22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  <w:br/>
        <w:br/>
        <w:t>Федерального закона «О государственном контроле (надзоре) и муниципальном контроле в Российской Федерации» от 31.07.2020 №248-ФЗ, п.1, ст. 64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основным законодательным и нормативным документам, используемым в ходе осуществления контрольного (надзорного) мероприятия в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 ТС 025/2012 «О безопасности мебельной продукции»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санитарно-эпидемиологическом благополучии населения» от 30.03.1999 № 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обитания»; 3 — Федеральный закон «О санитарно-эпидемиологическом благополучии населения» от 30.03.1999 № 52-ФЗ; 4 — СП 2.4.3648-20 «Санитарно-эпидемиологические требования к организациям воспитания и обучения, отдыха и оздоровления детей и молодежи»; 5 — Постановление Правительства РФ от 30 июня 2021 г. № 1100 «О федеральном государственном санитарно-эпидемиологическом контроле (надзоре)»; 6 — 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504"/>
      </w:pPr>
      <w:r>
        <w:rPr>
          <w:b w:val="0"/>
          <w:i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с.369-397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Предметом государственного контроля (надзора) являются: «…»</w:t>
        <w:br/>
        <w:br/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п.3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деятельности* *«…», включая требования к «…» отдыху и оздоровлению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п.1.1.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(надзора).</w:t>
        <w:br/>
        <w:br/>
        <w:t>Постановление Правительства РФ от 30 июня 2021 г. № 1100 «О федеральном государственном санитарно-эпидемиологическом контроле (надзоре)», п. 1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Статья 1, п.1</w:t>
        <w:br/>
        <w:br/>
        <w:t>Федеральный закон «О государственном контроле (надзоре) и муниципальном контроле в Российской Федерации» от 31.07.2020 N 248-ФЗ, п.1, ст.1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сведениям, предоставляемым администрацией организации труда и отдыха в территориальные органы государственного санитарно-эпидемиологического надзора не позднее, чем за месяц до открытия каждого сезона,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сроки проведения культурно-массовых мероприятий в течение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режим работы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планируемые сроки заездов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график проведения родительских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сроки проведения противоклещевой обработки территории и мероприятий по борьбе с грызунами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режим работы организации; 3 — планируемые сроки заездов детей; 5 — количество детей; 6 — сроки проведения противоклещевой обработки территории и мероприятий по борьбе с грызунами</w:t>
      </w:r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3.11.2.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различных видов работ детей и подростков на открытых площадках,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выполнение трудовых работ детьми после 20:00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обязательный осмотр на предмет присасывания клеща после возвращения с трудовых работ, выполняемых за пределами территории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осмотр детей на предмет присасывания клеща 1 раз в три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детьми и подростками только в головных уборах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в часы наименьшей инсоляции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выполнение работ в послеобеденное время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запрет на выполнение трудовых работ детьми после 20:00 часов; 2 — обязательный осмотр на предмет присасывания клеща после возвращения с трудовых работ, выполняемых за пределами территории организации; 4 — выполнение работ детьми и подростками только в головных уборах; 5 — выполнение работ в часы наименьшей инсоляции</w:t>
      </w:r>
    </w:p>
    <w:p>
      <w:pPr>
        <w:ind w:left="504"/>
      </w:pPr>
      <w:r>
        <w:rPr>
          <w:b w:val="0"/>
          <w:i/>
        </w:rPr>
        <w:t>Запрещается труд детей после 20:00 часов.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3.11.10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Дети должны работать в головных уборах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анализа результатов исследования питьевой воды 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содержания 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общего микробного числа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показателя общей минерализации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показателя цветности и мутности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превышение содержания фторидов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снижение перманганатной окисляемости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превышение содержания железа; 2 — превышение общего микробного числа; 4 — превышение показателя цветности и мутности</w:t>
      </w:r>
    </w:p>
    <w:p>
      <w:pPr>
        <w:ind w:left="504"/>
      </w:pPr>
      <w:r>
        <w:rPr>
          <w:b w:val="0"/>
          <w:i/>
        </w:rPr>
        <w:t>В соответствии с таблицей 3.13 «Предельно допустимые концентрации (ПДК) химических веществ воде питьевой систем централизованного….водоснабжения…»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ПДК железа может составлять не более 0,3 мг/л.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3.13,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3.5 «Санитарно-микробиологические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общее микробное число может составлять не более 50 КОЕ/см3.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3.5,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 «Органолептические показатели качества различных видов вод, кроме технической воды»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показатель цветности может составлять не более 20 град., показатель мутности – не более 2,6 ЕМФ (по формазину).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и необходимым действиям в данной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дополнительных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энтерококков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обобщенных колиморфных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_Legionella pneumophila_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показателя _Candida albicans_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цист патогенных простейших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дополнительных показателей; 2 — наличие в пробе воды энтерококков; 3 — наличие в пробе воды обобщенных колиморфных бактерий; 6 — наличие в пробе воды цист патогенных простейших</w:t>
      </w:r>
    </w:p>
    <w:p>
      <w:pPr>
        <w:ind w:left="504"/>
      </w:pPr>
      <w:r>
        <w:rPr>
          <w:b w:val="0"/>
          <w:i/>
        </w:rPr>
        <w:t>Дополнительные показатели возбудителей кишечных инфекций бактериальной и вирусной природы определяются в случае превышения допустимых уровней загрязнения одного или более основных показателей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п. 17,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энтерококки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обобщенные колиморфные бактерии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цисты патогенных простейших в пробе воды должны отсутствовать.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трудовой деятельности в часы высокой инсоляции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четкого зонирования территории лагеря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труда детей не менее 3-х часов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пребывание детей 12-14 лет в организации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проведение утренней зарядки более 15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недостаточную продолжительность ночного сна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проведение трудовой деятельности в часы высокой инсоляции; 2 — отсутствие четкого зонирования территории лагеря; 3 — продолжительность труда детей не менее 3-х часов в день; 6 — недостаточную продолжительность ночного сна</w:t>
      </w:r>
    </w:p>
    <w:p>
      <w:pPr>
        <w:ind w:left="504"/>
      </w:pPr>
      <w:r>
        <w:rPr>
          <w:b w:val="0"/>
          <w:i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3.14.1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собственной территории выделяют следующие зоны: жилая, физкультурно-оздоровительная, хозяйственная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3.11.3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труда детей 12-13 лет должна составлять не более 2,0 ч в день, для детей 14-15 лет – не более 2,5 ч в день.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ночного сна для детей в возрасте 11-14 лет должна составлять не менее 9,0 час.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ежедневный осмотр после окончания работы персонала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вакцинацию каждого работника в соответствии с национальным календарем профилактических прививок; 2 — предварительный и периодические медицинские осмотры при поступлении на работу в установленном порядке; 4 — наличие личной медицинской книжки у работника организации труда и отдыха детей; 6 — обязательную гигиеническую подготовку и аттестацию персонала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основным требованиям, предъявляемым к размещению и оборудованию изолятора медицинского пункта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туалета с раковиной для мытья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не менее двух палат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отдельного поста медицинской сестры изолятора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буфетной с двумя моечными раковинами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ванной комнаты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шкафов для хранения посуды в буфетной изолятора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туалета с раковиной для мытья рук; 2 — наличие не менее двух палат; 4 — наличие буфетной с двумя моечными раковинами; 5 — оборудование ванной комнаты; 6 — наличие шкафов для хранения посуды в буфетной изолятора</w:t>
      </w:r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изоляторе медицинского пункта предусматриваются не менее двух палат (раздельно для капельных и кишечных инфекций)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Возможно оборудование в медицинском пункте или в изоляторе душевой (ванной комнаты).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п.3.11.5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основным нормируемым показателям тяжести трудового процесса для детей и подростков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массу перемещаемого груза вручную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величину статической нагрузки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физическую динамическую нагрузку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стереотипные рабочие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сочетание статической и динамической нагрузки за рабочий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размер перемещаемого груза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массу перемещаемого груза вручную; 2 — величину статической нагрузки за смену; 3 — физическую динамическую нагрузку за смену; 4 — стереотипные рабочие движения</w:t>
      </w:r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массу перемещаемого груза вручную.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величину статической нагрузки за смену.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физическую динамическую нагрузку за смену.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стереотипные рабочие движения.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  <w:br/>
        <w:br/>
      </w:r>
      <w:hyperlink r:id="rId3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результатов контрольного (надзорного) мероприятия по обследованию организации труда и отдыха детей и подростков предусматривает,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оформляется акт административного расследования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производится на месте проведения контрольного (надзорного) мероприятия, в день его окончания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материалы, являющиеся доказательствами выявленных нарушений, должны быть приобщены к акту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направляется акт контрольного (надзорного) мероприятия в органы прокуратуры посредством единого реестра контрольных (надзорных) мероприятий; 3 — оформление акта производится на месте проведения контрольного (надзорного) мероприятия, в день его окончания; 4 — материалы, являющиеся доказательствами выявленных нарушений, должны быть приобщены к акту; 5 — 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установлено; 6 — 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504"/>
      </w:pPr>
      <w:r>
        <w:rPr>
          <w:b w:val="0"/>
          <w:i/>
        </w:rPr>
        <w:t>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5 ст. 87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3 ст. 87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(надзорного) мероприятия проверочные листы должны быть приобщены к акту.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 ст. 87</w:t>
        <w:br/>
        <w:br/>
      </w:r>
      <w:hyperlink r:id="rId28">
        <w:r>
          <w:rPr>
            <w:color w:val="173C49"/>
            <w:u w:val="single"/>
          </w:rPr>
          <w:t>Федеральный закон 31 июля 2020 г. N 248-ФЗ "О государственном контроле (надзоре) и муниципальном контроле в Российской Федерации"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1100/" TargetMode="External"/><Relationship Id="rId23" Type="http://schemas.openxmlformats.org/officeDocument/2006/relationships/hyperlink" Target="https://library.mededtech.ru/rest/documents/post1100/#list_item_2g7ofs" TargetMode="External"/><Relationship Id="rId24" Type="http://schemas.openxmlformats.org/officeDocument/2006/relationships/hyperlink" Target="https://library.mededtech.ru/rest/documents/post1100/#table_162id5" TargetMode="External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image" Target="media/image9.png"/><Relationship Id="rId28" Type="http://schemas.openxmlformats.org/officeDocument/2006/relationships/hyperlink" Target="https://library.mededtech.ru/rest/documents/fzN248/" TargetMode="External"/><Relationship Id="rId29" Type="http://schemas.openxmlformats.org/officeDocument/2006/relationships/hyperlink" Target="https://library.mededtech.ru/rest/documents/fzN248/#list_item_2n81d7" TargetMode="External"/><Relationship Id="rId30" Type="http://schemas.openxmlformats.org/officeDocument/2006/relationships/hyperlink" Target="https://library.mededtech.ru/rest/documents/fzN248/#list_item_54kkic" TargetMode="External"/><Relationship Id="rId31" Type="http://schemas.openxmlformats.org/officeDocument/2006/relationships/hyperlink" Target="https://library.mededtech.ru/rest/documents/fzN248/#list_item_t0blsu" TargetMode="External"/><Relationship Id="rId32" Type="http://schemas.openxmlformats.org/officeDocument/2006/relationships/hyperlink" Target="https://library.mededtech.ru/rest/documents/fzN248/#list_item_64q534" TargetMode="External"/><Relationship Id="rId33" Type="http://schemas.openxmlformats.org/officeDocument/2006/relationships/hyperlink" Target="https://library.mededtech.ru/rest/documents/fzN248/#list_item_c193qk" TargetMode="External"/><Relationship Id="rId34" Type="http://schemas.openxmlformats.org/officeDocument/2006/relationships/hyperlink" Target="https://library.mededtech.ru/rest/documents/fzN248/#list_item_q8o1t8" TargetMode="External"/><Relationship Id="rId35" Type="http://schemas.openxmlformats.org/officeDocument/2006/relationships/hyperlink" Target="https://library.mededtech.ru/rest/documents/sp1.2.3685-21/" TargetMode="External"/><Relationship Id="rId36" Type="http://schemas.openxmlformats.org/officeDocument/2006/relationships/hyperlink" Target="https://library.mededtech.ru/rest/documents/sp1.2.3685-21/#vi_&#1043;&#1080;&#1075;&#1080;&#1077;&#1085;&#1080;&#1095;&#1077;&#1089;&#1082;&#1080;&#1077;_&#1085;&#1086;&#1088;&#1084;&#1072;&#1090;&#1080;&#1074;&#1099;_&#1087;&#1086;_&#1091;&#1089;&#1090;&#1088;&#1086;&#1081;&#1089;&#1090;&#1074;&#1091;_&#1089;&#1086;&#1076;&#1077;&#1088;&#1078;&#1072;&#1085;&#1080;&#1102;_&#1080;_&#1088;&#1077;&#1078;&#1080;&#1084;&#1091;_&#1088;&#1072;&#1073;&#1086;&#1090;&#1099;_&#1086;&#1088;&#1075;&#1072;&#1085;&#1080;&#1079;&#1072;&#1094;&#1080;&#1081;_&#1074;&#1086;&#1089;&#1087;&#1080;&#1090;&#1072;&#1085;&#1080;&#1103;_&#1080;_&#1086;&#1073;&#1091;&#1095;&#1077;&#1085;&#1080;&#1103;_&#1086;&#1090;&#1076;&#1099;&#1093;&#1072;_&#1080;_&#1086;&#1079;&#1076;&#1086;&#1088;&#1086;&#1074;&#1083;&#1077;&#1085;&#1080;&#1103;_&#1076;&#1077;&#1090;&#1077;&#1081;_&#1080;_&#1084;&#1086;&#1083;&#1086;&#1076;&#1077;&#1078;&#1080;" TargetMode="External"/><Relationship Id="rId37" Type="http://schemas.openxmlformats.org/officeDocument/2006/relationships/hyperlink" Target="https://library.mededtech.ru/rest/documents/post1100/#list_item_h6fi9v" TargetMode="External"/><Relationship Id="rId38" Type="http://schemas.openxmlformats.org/officeDocument/2006/relationships/hyperlink" Target="https://library.mededtech.ru/rest/documents/sp2.4.3648_20/" TargetMode="External"/><Relationship Id="rId39" Type="http://schemas.openxmlformats.org/officeDocument/2006/relationships/hyperlink" Target="https://library.mededtech.ru/rest/documents/sp2.4.3648_20/#p_1_1" TargetMode="External"/><Relationship Id="rId40" Type="http://schemas.openxmlformats.org/officeDocument/2006/relationships/hyperlink" Target="https://library.mededtech.ru/rest/documents/post1100/#list_item_tbfueq" TargetMode="External"/><Relationship Id="rId41" Type="http://schemas.openxmlformats.org/officeDocument/2006/relationships/hyperlink" Target="https://library.mededtech.ru/rest/documents/fzN248/#list_item_2tn8v2" TargetMode="External"/><Relationship Id="rId42" Type="http://schemas.openxmlformats.org/officeDocument/2006/relationships/hyperlink" Target="https://library.mededtech.ru/rest/documents/sp2.4.3648_20/#list_item_m2gr55" TargetMode="External"/><Relationship Id="rId43" Type="http://schemas.openxmlformats.org/officeDocument/2006/relationships/hyperlink" Target="https://library.mededtech.ru/rest/documents/sp2.4.3648_20/#list_item_u32gck" TargetMode="External"/><Relationship Id="rId44" Type="http://schemas.openxmlformats.org/officeDocument/2006/relationships/hyperlink" Target="https://library.mededtech.ru/rest/documents/sp2.4.3648_20/#list_item_h5b23u" TargetMode="External"/><Relationship Id="rId45" Type="http://schemas.openxmlformats.org/officeDocument/2006/relationships/hyperlink" Target="https://library.mededtech.ru/rest/documents/sp2.4.3648_20/#list_item_8emj5t" TargetMode="External"/><Relationship Id="rId46" Type="http://schemas.openxmlformats.org/officeDocument/2006/relationships/hyperlink" Target="https://library.mededtech.ru/rest/documents/sp2.4.3648_20/#list_item_2tif12" TargetMode="External"/><Relationship Id="rId47" Type="http://schemas.openxmlformats.org/officeDocument/2006/relationships/hyperlink" Target="https://library.mededtech.ru/rest/documents/sp2.4.3648_20/#list_item_j3661m" TargetMode="External"/><Relationship Id="rId48" Type="http://schemas.openxmlformats.org/officeDocument/2006/relationships/hyperlink" Target="https://library.mededtech.ru/rest/documents/sp1.2.3685-21/#tab3_13" TargetMode="External"/><Relationship Id="rId49" Type="http://schemas.openxmlformats.org/officeDocument/2006/relationships/hyperlink" Target="https://library.mededtech.ru/rest/documents/sp1.2.3685-21/#tab3_5" TargetMode="External"/><Relationship Id="rId50" Type="http://schemas.openxmlformats.org/officeDocument/2006/relationships/hyperlink" Target="https://library.mededtech.ru/rest/documents/sp1.2.3685-21/#tab3_1" TargetMode="External"/><Relationship Id="rId51" Type="http://schemas.openxmlformats.org/officeDocument/2006/relationships/hyperlink" Target="https://library.mededtech.ru/rest/documents/sp1.2.3685-21/#list_item_0sjbuo" TargetMode="External"/><Relationship Id="rId52" Type="http://schemas.openxmlformats.org/officeDocument/2006/relationships/hyperlink" Target="https://library.mededtech.ru/rest/documents/sp1.2.3685-21/#tab3_10" TargetMode="External"/><Relationship Id="rId53" Type="http://schemas.openxmlformats.org/officeDocument/2006/relationships/hyperlink" Target="https://library.mededtech.ru/rest/documents/sp2.4.3648_20/#list_item_5brk6b" TargetMode="External"/><Relationship Id="rId54" Type="http://schemas.openxmlformats.org/officeDocument/2006/relationships/hyperlink" Target="https://library.mededtech.ru/rest/documents/sp1.2.3685-21/#tab6_7" TargetMode="External"/><Relationship Id="rId55" Type="http://schemas.openxmlformats.org/officeDocument/2006/relationships/hyperlink" Target="https://library.mededtech.ru/rest/documents/sp2.4.3648_20/#paragraph_27il16" TargetMode="External"/><Relationship Id="rId56" Type="http://schemas.openxmlformats.org/officeDocument/2006/relationships/hyperlink" Target="https://library.mededtech.ru/rest/documents/sp2.4.3648_20/#list_item_oa4di8" TargetMode="External"/><Relationship Id="rId57" Type="http://schemas.openxmlformats.org/officeDocument/2006/relationships/hyperlink" Target="https://library.mededtech.ru/rest/documents/sp2.4.3648_20/#list_item_2di2lb" TargetMode="External"/><Relationship Id="rId58" Type="http://schemas.openxmlformats.org/officeDocument/2006/relationships/hyperlink" Target="https://library.mededtech.ru/rest/documents/sp1.2.3685-21/#tab6_16" TargetMode="External"/><Relationship Id="rId59" Type="http://schemas.openxmlformats.org/officeDocument/2006/relationships/hyperlink" Target="https://library.mededtech.ru/rest/documents/fzN248/#list_item_oas4qb" TargetMode="External"/><Relationship Id="rId60" Type="http://schemas.openxmlformats.org/officeDocument/2006/relationships/hyperlink" Target="https://library.mededtech.ru/rest/documents/fzN248/#list_item_ilhp25" TargetMode="External"/><Relationship Id="rId61" Type="http://schemas.openxmlformats.org/officeDocument/2006/relationships/hyperlink" Target="https://library.mededtech.ru/rest/documents/fzN248/#list_item_pstbl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